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44"/>
        <w:gridCol w:w="4926"/>
      </w:tblGrid>
      <w:tr w:rsidR="000A332E" w:rsidTr="000A332E">
        <w:tc>
          <w:tcPr>
            <w:tcW w:w="4644" w:type="dxa"/>
            <w:shd w:val="clear" w:color="auto" w:fill="FFFFFF" w:themeFill="background1"/>
          </w:tcPr>
          <w:p w:rsidR="000A332E" w:rsidRDefault="000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0A332E" w:rsidRDefault="000A332E">
            <w:pPr>
              <w:spacing w:after="0" w:line="2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УТВЕРЖДЕНА</w:t>
            </w:r>
          </w:p>
          <w:p w:rsidR="000A332E" w:rsidRDefault="000A332E">
            <w:pPr>
              <w:spacing w:after="0" w:line="2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66F9" w:rsidRPr="001166F9" w:rsidRDefault="001166F9" w:rsidP="001166F9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6F9">
              <w:rPr>
                <w:rFonts w:ascii="Times New Roman" w:hAnsi="Times New Roman"/>
                <w:sz w:val="24"/>
                <w:szCs w:val="24"/>
              </w:rPr>
              <w:t xml:space="preserve">Решением единственного участника </w:t>
            </w:r>
          </w:p>
          <w:p w:rsidR="001166F9" w:rsidRPr="001166F9" w:rsidRDefault="001166F9" w:rsidP="001166F9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6F9">
              <w:rPr>
                <w:rFonts w:ascii="Times New Roman" w:hAnsi="Times New Roman"/>
                <w:sz w:val="24"/>
                <w:szCs w:val="24"/>
              </w:rPr>
              <w:t xml:space="preserve">ООО «ГФПП </w:t>
            </w:r>
            <w:proofErr w:type="gramStart"/>
            <w:r w:rsidRPr="001166F9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166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6297" w:rsidRPr="00076297" w:rsidRDefault="0088524A" w:rsidP="00076297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«27</w:t>
            </w:r>
            <w:bookmarkStart w:id="0" w:name="_GoBack"/>
            <w:bookmarkEnd w:id="0"/>
            <w:r w:rsidR="007E6979">
              <w:rPr>
                <w:rFonts w:ascii="Times New Roman" w:hAnsi="Times New Roman" w:cs="Times New Roman"/>
                <w:sz w:val="24"/>
                <w:szCs w:val="24"/>
              </w:rPr>
              <w:t>» дека</w:t>
            </w:r>
            <w:r w:rsidR="0006609D">
              <w:rPr>
                <w:rFonts w:ascii="Times New Roman" w:hAnsi="Times New Roman" w:cs="Times New Roman"/>
                <w:sz w:val="24"/>
                <w:szCs w:val="24"/>
              </w:rPr>
              <w:t>бря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 № 24</w:t>
            </w:r>
          </w:p>
          <w:p w:rsidR="000A332E" w:rsidRDefault="000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B67" w:rsidRDefault="00320B67" w:rsidP="00320B67">
      <w:pPr>
        <w:pStyle w:val="a3"/>
        <w:ind w:left="0" w:right="-29" w:firstLine="360"/>
        <w:rPr>
          <w:b/>
          <w:bCs/>
          <w:sz w:val="24"/>
          <w:szCs w:val="24"/>
        </w:rPr>
      </w:pPr>
    </w:p>
    <w:p w:rsidR="00C27BA5" w:rsidRDefault="00C27BA5" w:rsidP="00320B67">
      <w:pPr>
        <w:pStyle w:val="a3"/>
        <w:ind w:left="0" w:right="-29" w:firstLine="360"/>
        <w:rPr>
          <w:b/>
          <w:bCs/>
          <w:sz w:val="24"/>
          <w:szCs w:val="24"/>
        </w:rPr>
      </w:pPr>
    </w:p>
    <w:p w:rsidR="00C27BA5" w:rsidRDefault="00C27BA5" w:rsidP="00CC11D0">
      <w:pPr>
        <w:pStyle w:val="a3"/>
        <w:ind w:left="0" w:right="-29"/>
        <w:rPr>
          <w:b/>
          <w:bCs/>
          <w:sz w:val="24"/>
          <w:szCs w:val="24"/>
        </w:rPr>
      </w:pPr>
    </w:p>
    <w:p w:rsidR="000A332E" w:rsidRDefault="000A332E" w:rsidP="00CC11D0">
      <w:pPr>
        <w:pStyle w:val="a3"/>
        <w:ind w:left="0" w:right="-29"/>
        <w:rPr>
          <w:b/>
          <w:bCs/>
          <w:sz w:val="24"/>
          <w:szCs w:val="24"/>
        </w:rPr>
      </w:pPr>
    </w:p>
    <w:p w:rsidR="006E4183" w:rsidRDefault="006E4183" w:rsidP="006E418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6E4183">
        <w:rPr>
          <w:rFonts w:ascii="Times New Roman" w:hAnsi="Times New Roman"/>
          <w:b/>
          <w:sz w:val="40"/>
          <w:szCs w:val="40"/>
        </w:rPr>
        <w:t>Порядок расчета лимитов</w:t>
      </w:r>
      <w:r w:rsidR="001A04DC" w:rsidRPr="006E4183">
        <w:rPr>
          <w:rFonts w:ascii="Times New Roman" w:hAnsi="Times New Roman"/>
          <w:b/>
          <w:sz w:val="40"/>
          <w:szCs w:val="40"/>
        </w:rPr>
        <w:t xml:space="preserve"> </w:t>
      </w:r>
    </w:p>
    <w:p w:rsidR="00320B67" w:rsidRPr="006E4183" w:rsidRDefault="00C457CE" w:rsidP="006E418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C27BA5">
        <w:rPr>
          <w:rFonts w:ascii="Times New Roman" w:hAnsi="Times New Roman"/>
          <w:b/>
          <w:sz w:val="40"/>
          <w:szCs w:val="40"/>
        </w:rPr>
        <w:t>общества с ограниченной ответственностью</w:t>
      </w:r>
      <w:r w:rsidR="00400BFC" w:rsidRPr="00C27BA5">
        <w:rPr>
          <w:rFonts w:ascii="Times New Roman" w:hAnsi="Times New Roman"/>
          <w:b/>
          <w:sz w:val="40"/>
          <w:szCs w:val="40"/>
        </w:rPr>
        <w:t xml:space="preserve"> «Гарантийный фонд поддержки предпринимательства Костромской области»</w:t>
      </w:r>
    </w:p>
    <w:p w:rsidR="00320B67" w:rsidRDefault="00320B67" w:rsidP="00320B67">
      <w:pPr>
        <w:pStyle w:val="a3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Pr="00C27BA5" w:rsidRDefault="00C457CE" w:rsidP="00C457CE">
      <w:pPr>
        <w:pStyle w:val="a3"/>
        <w:tabs>
          <w:tab w:val="left" w:pos="3579"/>
        </w:tabs>
        <w:ind w:left="0" w:right="-29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7BA5">
        <w:rPr>
          <w:rFonts w:ascii="Times New Roman" w:hAnsi="Times New Roman" w:cs="Times New Roman"/>
          <w:b/>
          <w:bCs/>
          <w:sz w:val="32"/>
          <w:szCs w:val="32"/>
        </w:rPr>
        <w:t>Новая редакция</w:t>
      </w:r>
    </w:p>
    <w:p w:rsidR="00400BFC" w:rsidRDefault="00400BFC" w:rsidP="00320B67">
      <w:pPr>
        <w:pStyle w:val="a3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Default="00400BFC" w:rsidP="00320B67">
      <w:pPr>
        <w:pStyle w:val="a3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Default="00400BFC" w:rsidP="00320B67">
      <w:pPr>
        <w:pStyle w:val="a3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Default="00400BFC" w:rsidP="00320B67">
      <w:pPr>
        <w:pStyle w:val="a3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Default="00400BFC" w:rsidP="00320B67">
      <w:pPr>
        <w:pStyle w:val="a3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Default="00400BFC" w:rsidP="00CC11D0">
      <w:pPr>
        <w:pStyle w:val="a3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1D0" w:rsidRDefault="00CC11D0" w:rsidP="00CC11D0">
      <w:pPr>
        <w:pStyle w:val="a3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A5" w:rsidRDefault="00C27BA5" w:rsidP="00C27BA5">
      <w:pPr>
        <w:pStyle w:val="a3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C27BA5" w:rsidRPr="0024366F" w:rsidRDefault="00C27BA5" w:rsidP="0024366F">
      <w:pPr>
        <w:pStyle w:val="a3"/>
        <w:spacing w:after="0" w:line="240" w:lineRule="auto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Pr="0024366F" w:rsidRDefault="00400BFC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Pr="0024366F" w:rsidRDefault="00400BFC" w:rsidP="0024366F">
      <w:pPr>
        <w:pStyle w:val="a3"/>
        <w:spacing w:after="0" w:line="240" w:lineRule="auto"/>
        <w:ind w:left="0" w:right="-29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Pr="0024366F" w:rsidRDefault="00400BFC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0A332E" w:rsidRDefault="000A332E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DB7B48" w:rsidRPr="0024366F" w:rsidRDefault="00DB7B48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0A332E" w:rsidRPr="0024366F" w:rsidRDefault="000A332E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6E4183" w:rsidRPr="0024366F" w:rsidRDefault="006E4183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6E4183" w:rsidRPr="0024366F" w:rsidRDefault="006E4183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6E4183" w:rsidRPr="0024366F" w:rsidRDefault="006E4183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0A332E" w:rsidRPr="0024366F" w:rsidRDefault="000A332E" w:rsidP="0024366F">
      <w:pPr>
        <w:pStyle w:val="a3"/>
        <w:spacing w:after="0" w:line="240" w:lineRule="auto"/>
        <w:ind w:left="0" w:right="-29"/>
        <w:rPr>
          <w:rFonts w:ascii="Times New Roman" w:hAnsi="Times New Roman" w:cs="Times New Roman"/>
          <w:b/>
          <w:bCs/>
          <w:sz w:val="24"/>
          <w:szCs w:val="24"/>
        </w:rPr>
      </w:pPr>
    </w:p>
    <w:p w:rsidR="00400BFC" w:rsidRPr="0024366F" w:rsidRDefault="00222CA5" w:rsidP="0024366F">
      <w:pPr>
        <w:pStyle w:val="a3"/>
        <w:spacing w:after="0" w:line="240" w:lineRule="auto"/>
        <w:ind w:left="0"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66F">
        <w:rPr>
          <w:rFonts w:ascii="Times New Roman" w:hAnsi="Times New Roman" w:cs="Times New Roman"/>
          <w:b/>
          <w:bCs/>
          <w:sz w:val="24"/>
          <w:szCs w:val="24"/>
        </w:rPr>
        <w:t>Кострома, 202</w:t>
      </w:r>
      <w:r w:rsidR="007E69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0BFC" w:rsidRPr="0024366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F3C94" w:rsidRPr="00023B31" w:rsidRDefault="00A75E74" w:rsidP="0024366F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4366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1. </w:t>
      </w:r>
      <w:proofErr w:type="gramStart"/>
      <w:r w:rsidR="00BF3C94" w:rsidRPr="0024366F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</w:t>
      </w:r>
      <w:r w:rsidR="006E4183" w:rsidRPr="00243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ий порядок расчета лимитов общества с ограниченной ответственностью «Гарантийный фонд поддержки предпринимательства Костромской области» </w:t>
      </w:r>
      <w:r w:rsidR="006E4183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разработан</w:t>
      </w:r>
      <w:r w:rsidR="00BF3C94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соответствии с Гражданским кодексом Российской Федерации, Федеральным законом Росси</w:t>
      </w:r>
      <w:r w:rsidR="00C84768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="00C84768" w:rsidRPr="00023B31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24.07.2007</w:t>
        </w:r>
      </w:smartTag>
      <w:r w:rsidR="00C84768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BF3C94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209-ФЗ «О развитии малого и среднего предпринимательства в Российской Федерации», </w:t>
      </w:r>
      <w:r w:rsidR="00C457CE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8"/>
          <w:attr w:name="Year" w:val="1998"/>
        </w:smartTagPr>
        <w:r w:rsidR="00C457CE" w:rsidRPr="00023B31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8 февраля 1998г.</w:t>
        </w:r>
      </w:smartTag>
      <w:r w:rsidR="00C457CE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№14-ФЗ «Об обществах с ограниченной ответственностью»,</w:t>
      </w:r>
      <w:r w:rsidR="0095423C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приказом Министерства экономического развития РФ от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16"/>
        </w:smartTagPr>
        <w:r w:rsidR="0095423C" w:rsidRPr="00023B31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28 ноября </w:t>
        </w:r>
        <w:smartTag w:uri="urn:schemas-microsoft-com:office:smarttags" w:element="metricconverter">
          <w:smartTagPr>
            <w:attr w:name="ProductID" w:val="2016 г"/>
          </w:smartTagPr>
          <w:r w:rsidR="0095423C" w:rsidRPr="00023B31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2016 г</w:t>
          </w:r>
        </w:smartTag>
        <w:proofErr w:type="gramEnd"/>
        <w:r w:rsidR="0095423C" w:rsidRPr="00023B31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</w:smartTag>
      <w:r w:rsidR="0095423C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№763 «Об утверждении требований к фондам содействия кредитованию (гарантийным фондам, фондам поручительств) и их деятельности» (далее – Приказ),</w:t>
      </w:r>
      <w:r w:rsidR="00C457CE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019D" w:rsidRPr="00023B3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Уставом ООО «ГФПП </w:t>
      </w:r>
      <w:proofErr w:type="gramStart"/>
      <w:r w:rsidR="0081019D" w:rsidRPr="00023B3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КО</w:t>
      </w:r>
      <w:proofErr w:type="gramEnd"/>
      <w:r w:rsidR="0081019D" w:rsidRPr="00023B3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», </w:t>
      </w:r>
      <w:r w:rsidR="00BF3C94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>иным действующим законода</w:t>
      </w:r>
      <w:r w:rsidR="00602319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тельством Российской Федерации и </w:t>
      </w:r>
      <w:r w:rsidR="00BF3C94" w:rsidRPr="00023B31">
        <w:rPr>
          <w:rFonts w:ascii="Times New Roman" w:hAnsi="Times New Roman" w:cs="Times New Roman"/>
          <w:b w:val="0"/>
          <w:color w:val="auto"/>
          <w:sz w:val="24"/>
          <w:szCs w:val="24"/>
        </w:rPr>
        <w:t>Костромской области.</w:t>
      </w:r>
    </w:p>
    <w:p w:rsidR="00400BFC" w:rsidRPr="00023B31" w:rsidRDefault="006E4183" w:rsidP="0024366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B31">
        <w:rPr>
          <w:rFonts w:ascii="Times New Roman" w:hAnsi="Times New Roman"/>
          <w:sz w:val="24"/>
          <w:szCs w:val="24"/>
        </w:rPr>
        <w:t xml:space="preserve">В настоящем Порядке </w:t>
      </w:r>
      <w:r w:rsidR="00400BFC" w:rsidRPr="00023B31">
        <w:rPr>
          <w:rFonts w:ascii="Times New Roman" w:hAnsi="Times New Roman"/>
          <w:sz w:val="24"/>
          <w:szCs w:val="24"/>
        </w:rPr>
        <w:t>используются следующие понятия:</w:t>
      </w:r>
    </w:p>
    <w:p w:rsidR="00400BFC" w:rsidRPr="00023B31" w:rsidRDefault="00400BFC" w:rsidP="0024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B31">
        <w:rPr>
          <w:rFonts w:ascii="Times New Roman" w:hAnsi="Times New Roman" w:cs="Times New Roman"/>
          <w:sz w:val="24"/>
          <w:szCs w:val="24"/>
        </w:rPr>
        <w:t xml:space="preserve">«Фонд» – </w:t>
      </w:r>
      <w:r w:rsidR="00961B7B" w:rsidRPr="00023B3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023B31">
        <w:rPr>
          <w:rFonts w:ascii="Times New Roman" w:hAnsi="Times New Roman" w:cs="Times New Roman"/>
          <w:sz w:val="24"/>
          <w:szCs w:val="24"/>
        </w:rPr>
        <w:t xml:space="preserve"> «Гарантийный фонд поддержки  предпринимательства Костромской области»  (</w:t>
      </w:r>
      <w:r w:rsidR="00961B7B" w:rsidRPr="00023B31">
        <w:rPr>
          <w:rFonts w:ascii="Times New Roman" w:hAnsi="Times New Roman" w:cs="Times New Roman"/>
          <w:sz w:val="24"/>
          <w:szCs w:val="24"/>
        </w:rPr>
        <w:t>ОО</w:t>
      </w:r>
      <w:r w:rsidR="000A332E" w:rsidRPr="00023B31">
        <w:rPr>
          <w:rFonts w:ascii="Times New Roman" w:hAnsi="Times New Roman" w:cs="Times New Roman"/>
          <w:sz w:val="24"/>
          <w:szCs w:val="24"/>
        </w:rPr>
        <w:t xml:space="preserve">О «ГФПП </w:t>
      </w:r>
      <w:proofErr w:type="gramStart"/>
      <w:r w:rsidR="000A332E" w:rsidRPr="00023B3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0A332E" w:rsidRPr="00023B31">
        <w:rPr>
          <w:rFonts w:ascii="Times New Roman" w:hAnsi="Times New Roman" w:cs="Times New Roman"/>
          <w:sz w:val="24"/>
          <w:szCs w:val="24"/>
        </w:rPr>
        <w:t>»).</w:t>
      </w:r>
    </w:p>
    <w:p w:rsidR="0095423C" w:rsidRPr="00023B31" w:rsidRDefault="0095423C" w:rsidP="002436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31">
        <w:rPr>
          <w:rFonts w:ascii="Times New Roman" w:hAnsi="Times New Roman" w:cs="Times New Roman"/>
          <w:sz w:val="24"/>
          <w:szCs w:val="24"/>
        </w:rPr>
        <w:t xml:space="preserve">«Субъекты малого и среднего предпринимательства» – зарегистрированные в соответствии с законодательством Российской Федерации и соответствующие условиям, установленным статьи 4  Федерального закона от 24.07.2007г. № 209-ФЗ «О развитии малого и среднего предпринимательства в Российской Федерации» хозяйственные общества, </w:t>
      </w:r>
      <w:hyperlink r:id="rId9" w:history="1">
        <w:r w:rsidRPr="00023B31">
          <w:rPr>
            <w:rFonts w:ascii="Times New Roman" w:hAnsi="Times New Roman" w:cs="Times New Roman"/>
            <w:sz w:val="24"/>
            <w:szCs w:val="24"/>
          </w:rPr>
          <w:t>хозяйственные партнерства</w:t>
        </w:r>
      </w:hyperlink>
      <w:r w:rsidRPr="00023B3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23B31">
          <w:rPr>
            <w:rFonts w:ascii="Times New Roman" w:hAnsi="Times New Roman" w:cs="Times New Roman"/>
            <w:sz w:val="24"/>
            <w:szCs w:val="24"/>
          </w:rPr>
          <w:t>производственные кооперативы</w:t>
        </w:r>
      </w:hyperlink>
      <w:r w:rsidRPr="00023B3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3B31">
          <w:rPr>
            <w:rFonts w:ascii="Times New Roman" w:hAnsi="Times New Roman" w:cs="Times New Roman"/>
            <w:sz w:val="24"/>
            <w:szCs w:val="24"/>
          </w:rPr>
          <w:t>потребительские кооперативы</w:t>
        </w:r>
      </w:hyperlink>
      <w:r w:rsidRPr="00023B3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023B31">
          <w:rPr>
            <w:rFonts w:ascii="Times New Roman" w:hAnsi="Times New Roman" w:cs="Times New Roman"/>
            <w:sz w:val="24"/>
            <w:szCs w:val="24"/>
          </w:rPr>
          <w:t>крестьянские (фермерские) хозяйства</w:t>
        </w:r>
      </w:hyperlink>
      <w:r w:rsidRPr="00023B31">
        <w:rPr>
          <w:rFonts w:ascii="Times New Roman" w:hAnsi="Times New Roman" w:cs="Times New Roman"/>
          <w:sz w:val="24"/>
          <w:szCs w:val="24"/>
        </w:rPr>
        <w:t xml:space="preserve"> и индивидуальные </w:t>
      </w:r>
      <w:r w:rsidR="000A332E" w:rsidRPr="00023B31">
        <w:rPr>
          <w:rFonts w:ascii="Times New Roman" w:hAnsi="Times New Roman" w:cs="Times New Roman"/>
          <w:sz w:val="24"/>
          <w:szCs w:val="24"/>
        </w:rPr>
        <w:t>предприниматели (далее – СМСП).</w:t>
      </w:r>
      <w:proofErr w:type="gramEnd"/>
    </w:p>
    <w:p w:rsidR="00275D2E" w:rsidRPr="00A230DD" w:rsidRDefault="0095423C" w:rsidP="0024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B31">
        <w:rPr>
          <w:rFonts w:ascii="Times New Roman" w:hAnsi="Times New Roman" w:cs="Times New Roman"/>
          <w:sz w:val="24"/>
          <w:szCs w:val="24"/>
        </w:rPr>
        <w:t xml:space="preserve"> </w:t>
      </w:r>
      <w:r w:rsidR="00275D2E" w:rsidRPr="00023B31">
        <w:rPr>
          <w:rFonts w:ascii="Times New Roman" w:hAnsi="Times New Roman" w:cs="Times New Roman"/>
          <w:sz w:val="24"/>
          <w:szCs w:val="24"/>
        </w:rPr>
        <w:t xml:space="preserve">«Организации инфраструктуры поддержки субъектов малого и среднего предпринимательства» – система коммерческих и некоммерческих организаций, включенных в реестр организаций, образующих инфраструктуру поддержки субъектов малого и среднего </w:t>
      </w:r>
      <w:r w:rsidR="00275D2E" w:rsidRPr="00A230DD">
        <w:rPr>
          <w:rFonts w:ascii="Times New Roman" w:hAnsi="Times New Roman" w:cs="Times New Roman"/>
          <w:sz w:val="24"/>
          <w:szCs w:val="24"/>
        </w:rPr>
        <w:t>предпринимательства Костромской области (дале</w:t>
      </w:r>
      <w:r w:rsidR="000A332E" w:rsidRPr="00A230DD">
        <w:rPr>
          <w:rFonts w:ascii="Times New Roman" w:hAnsi="Times New Roman" w:cs="Times New Roman"/>
          <w:sz w:val="24"/>
          <w:szCs w:val="24"/>
        </w:rPr>
        <w:t>е – организации инфраструктуры).</w:t>
      </w:r>
    </w:p>
    <w:p w:rsidR="00400BFC" w:rsidRPr="00A230DD" w:rsidRDefault="00400BFC" w:rsidP="00A2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DD">
        <w:rPr>
          <w:rFonts w:ascii="Times New Roman" w:hAnsi="Times New Roman" w:cs="Times New Roman"/>
          <w:sz w:val="24"/>
          <w:szCs w:val="24"/>
        </w:rPr>
        <w:t xml:space="preserve"> </w:t>
      </w:r>
      <w:r w:rsidR="00900BDE" w:rsidRPr="00A230DD">
        <w:rPr>
          <w:rFonts w:ascii="Times New Roman" w:hAnsi="Times New Roman" w:cs="Times New Roman"/>
          <w:sz w:val="24"/>
          <w:szCs w:val="24"/>
        </w:rPr>
        <w:t>«Банк» – кредитная организация,  заключившая или намеревающаяся заключить с Фондом соглашение о сотрудничестве по предоставлению кредитов (банковских гарантий) СМСП, организациям инфраструктуры, а также физическим лицам, применяющим специальный налоговый режим «Налог на профессиональный доход»  под поручительства Фонда.</w:t>
      </w:r>
    </w:p>
    <w:p w:rsidR="00400BFC" w:rsidRPr="00A230DD" w:rsidRDefault="00400BFC" w:rsidP="0024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0DD">
        <w:rPr>
          <w:rFonts w:ascii="Times New Roman" w:hAnsi="Times New Roman" w:cs="Times New Roman"/>
          <w:sz w:val="24"/>
          <w:szCs w:val="24"/>
        </w:rPr>
        <w:t>«Заемщик» – СМСП (организация инфраструктуры),</w:t>
      </w:r>
      <w:r w:rsidR="00222CA5" w:rsidRPr="00A230DD">
        <w:rPr>
          <w:rFonts w:ascii="Times New Roman" w:hAnsi="Times New Roman" w:cs="Times New Roman"/>
          <w:sz w:val="24"/>
          <w:szCs w:val="24"/>
        </w:rPr>
        <w:t xml:space="preserve"> а также физические лица, применяющие специальный налоговый режим «Налог на профессиональный доход», </w:t>
      </w:r>
      <w:r w:rsidRPr="00A230DD">
        <w:rPr>
          <w:rFonts w:ascii="Times New Roman" w:hAnsi="Times New Roman" w:cs="Times New Roman"/>
          <w:sz w:val="24"/>
          <w:szCs w:val="24"/>
        </w:rPr>
        <w:t xml:space="preserve"> заключивший или намеревающийся заключить кредитный договор (договор о предоставлени</w:t>
      </w:r>
      <w:r w:rsidR="000A332E" w:rsidRPr="00A230DD">
        <w:rPr>
          <w:rFonts w:ascii="Times New Roman" w:hAnsi="Times New Roman" w:cs="Times New Roman"/>
          <w:sz w:val="24"/>
          <w:szCs w:val="24"/>
        </w:rPr>
        <w:t>и банковской гарантии) с Банком.</w:t>
      </w:r>
      <w:proofErr w:type="gramEnd"/>
    </w:p>
    <w:p w:rsidR="00400BFC" w:rsidRPr="00A230DD" w:rsidRDefault="00400BFC" w:rsidP="0024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DD">
        <w:rPr>
          <w:rFonts w:ascii="Times New Roman" w:hAnsi="Times New Roman" w:cs="Times New Roman"/>
          <w:sz w:val="24"/>
          <w:szCs w:val="24"/>
        </w:rPr>
        <w:t>«Генеральный директор Фонда» – единоличный исполнительный орган Фонда;</w:t>
      </w:r>
    </w:p>
    <w:p w:rsidR="0025572C" w:rsidRPr="00023B31" w:rsidRDefault="00400BFC" w:rsidP="00A2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0DD">
        <w:rPr>
          <w:rFonts w:ascii="Times New Roman" w:hAnsi="Times New Roman" w:cs="Times New Roman"/>
          <w:sz w:val="24"/>
          <w:szCs w:val="24"/>
        </w:rPr>
        <w:t>«Поручительство Фонда» – оформленный в соответствии с требованиями действующего законодательства договор поручительства, согласно которому Фонд обязывается перед Банком отвечать</w:t>
      </w:r>
      <w:r w:rsidRPr="00023B31">
        <w:rPr>
          <w:rFonts w:ascii="Times New Roman" w:hAnsi="Times New Roman" w:cs="Times New Roman"/>
          <w:sz w:val="24"/>
          <w:szCs w:val="24"/>
        </w:rPr>
        <w:t xml:space="preserve"> за исполнение Заемщиком его обязательств по кредитному договору (договору о предоставлении банковской гарантии) на условиях, определ</w:t>
      </w:r>
      <w:r w:rsidR="000A332E" w:rsidRPr="00023B31">
        <w:rPr>
          <w:rFonts w:ascii="Times New Roman" w:hAnsi="Times New Roman" w:cs="Times New Roman"/>
          <w:sz w:val="24"/>
          <w:szCs w:val="24"/>
        </w:rPr>
        <w:t>енных в договоре поручительства.</w:t>
      </w:r>
    </w:p>
    <w:p w:rsidR="00096489" w:rsidRPr="00023B31" w:rsidRDefault="00096489" w:rsidP="00243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31">
        <w:rPr>
          <w:rFonts w:ascii="Times New Roman" w:hAnsi="Times New Roman" w:cs="Times New Roman"/>
          <w:sz w:val="24"/>
          <w:szCs w:val="24"/>
        </w:rPr>
        <w:t>«Физические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режим «Налог на профессиональный доход» в порядке, установленном нормами действующего законодательства.</w:t>
      </w:r>
      <w:proofErr w:type="gramEnd"/>
    </w:p>
    <w:p w:rsidR="00CC11D0" w:rsidRPr="00DF6ABA" w:rsidRDefault="00CC11D0" w:rsidP="002436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B31">
        <w:rPr>
          <w:rFonts w:ascii="Times New Roman" w:hAnsi="Times New Roman" w:cs="Times New Roman"/>
          <w:sz w:val="24"/>
          <w:szCs w:val="24"/>
        </w:rPr>
        <w:t>«</w:t>
      </w:r>
      <w:r w:rsidR="00F0155E" w:rsidRPr="00DF6ABA">
        <w:rPr>
          <w:rFonts w:ascii="Times New Roman" w:hAnsi="Times New Roman" w:cs="Times New Roman"/>
          <w:sz w:val="24"/>
          <w:szCs w:val="24"/>
        </w:rPr>
        <w:t>Департамент экономического развития Костромской области</w:t>
      </w:r>
      <w:r w:rsidRPr="00DF6ABA">
        <w:rPr>
          <w:rFonts w:ascii="Times New Roman" w:hAnsi="Times New Roman" w:cs="Times New Roman"/>
          <w:sz w:val="24"/>
          <w:szCs w:val="24"/>
        </w:rPr>
        <w:t xml:space="preserve">» - </w:t>
      </w:r>
      <w:r w:rsidR="000A332E" w:rsidRPr="00DF6ABA">
        <w:rPr>
          <w:rFonts w:ascii="Times New Roman" w:hAnsi="Times New Roman" w:cs="Times New Roman"/>
          <w:sz w:val="24"/>
          <w:szCs w:val="24"/>
        </w:rPr>
        <w:t>высший орган управления Фонда.</w:t>
      </w:r>
    </w:p>
    <w:p w:rsidR="006E4183" w:rsidRPr="00DF6ABA" w:rsidRDefault="006E4183" w:rsidP="0024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BA">
        <w:rPr>
          <w:rFonts w:ascii="Times New Roman" w:hAnsi="Times New Roman" w:cs="Times New Roman"/>
          <w:sz w:val="24"/>
          <w:szCs w:val="24"/>
        </w:rPr>
        <w:t>«</w:t>
      </w:r>
      <w:r w:rsidR="0024366F" w:rsidRPr="00DF6ABA">
        <w:rPr>
          <w:rFonts w:ascii="Times New Roman" w:hAnsi="Times New Roman" w:cs="Times New Roman"/>
          <w:sz w:val="24"/>
          <w:szCs w:val="24"/>
        </w:rPr>
        <w:t>Операционный лимит на вновь принятые условные обязательства на год</w:t>
      </w:r>
      <w:r w:rsidRPr="00DF6ABA">
        <w:rPr>
          <w:rFonts w:ascii="Times New Roman" w:hAnsi="Times New Roman" w:cs="Times New Roman"/>
          <w:sz w:val="24"/>
          <w:szCs w:val="24"/>
        </w:rPr>
        <w:t xml:space="preserve">» - показатели, утвержденные методикой расчета операционного лимита на вновь принятые условные обязательства на год ООО «ГФПП </w:t>
      </w:r>
      <w:proofErr w:type="gramStart"/>
      <w:r w:rsidRPr="00DF6AB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F6ABA">
        <w:rPr>
          <w:rFonts w:ascii="Times New Roman" w:hAnsi="Times New Roman" w:cs="Times New Roman"/>
          <w:sz w:val="24"/>
          <w:szCs w:val="24"/>
        </w:rPr>
        <w:t>».</w:t>
      </w:r>
    </w:p>
    <w:p w:rsidR="007E6979" w:rsidRPr="00023B31" w:rsidRDefault="006E4183" w:rsidP="007E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ABA">
        <w:rPr>
          <w:rFonts w:ascii="Times New Roman" w:hAnsi="Times New Roman" w:cs="Times New Roman"/>
          <w:sz w:val="24"/>
          <w:szCs w:val="24"/>
        </w:rPr>
        <w:t>«</w:t>
      </w:r>
      <w:r w:rsidR="0024366F" w:rsidRPr="00DF6ABA">
        <w:rPr>
          <w:rFonts w:ascii="Times New Roman" w:hAnsi="Times New Roman" w:cs="Times New Roman"/>
          <w:sz w:val="24"/>
          <w:szCs w:val="24"/>
        </w:rPr>
        <w:t>Общий операционный лимит условных обязательств</w:t>
      </w:r>
      <w:r w:rsidRPr="00DF6ABA">
        <w:rPr>
          <w:rFonts w:ascii="Times New Roman" w:hAnsi="Times New Roman" w:cs="Times New Roman"/>
          <w:sz w:val="24"/>
          <w:szCs w:val="24"/>
        </w:rPr>
        <w:t xml:space="preserve">» - сумма лимита на портфель действующих поручительств </w:t>
      </w:r>
      <w:r w:rsidR="007E6979" w:rsidRPr="00DF6ABA">
        <w:rPr>
          <w:rFonts w:ascii="Times New Roman" w:hAnsi="Times New Roman" w:cs="Times New Roman"/>
          <w:color w:val="22272F"/>
          <w:sz w:val="24"/>
          <w:szCs w:val="24"/>
          <w:shd w:val="clear" w:color="auto" w:fill="F3F1E9"/>
        </w:rPr>
        <w:t>и </w:t>
      </w:r>
      <w:r w:rsidR="007E6979" w:rsidRPr="00DF6ABA">
        <w:rPr>
          <w:rStyle w:val="af0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 xml:space="preserve">(или) независимых гарантий </w:t>
      </w:r>
      <w:r w:rsidRPr="00DF6ABA">
        <w:rPr>
          <w:rFonts w:ascii="Times New Roman" w:hAnsi="Times New Roman" w:cs="Times New Roman"/>
          <w:sz w:val="24"/>
          <w:szCs w:val="24"/>
        </w:rPr>
        <w:t>и операционного лимита</w:t>
      </w:r>
      <w:r w:rsidRPr="00023B31">
        <w:rPr>
          <w:rFonts w:ascii="Times New Roman" w:hAnsi="Times New Roman" w:cs="Times New Roman"/>
          <w:sz w:val="24"/>
          <w:szCs w:val="24"/>
        </w:rPr>
        <w:t xml:space="preserve"> на </w:t>
      </w:r>
      <w:r w:rsidRPr="00023B31">
        <w:rPr>
          <w:rFonts w:ascii="Times New Roman" w:hAnsi="Times New Roman" w:cs="Times New Roman"/>
          <w:sz w:val="24"/>
          <w:szCs w:val="24"/>
        </w:rPr>
        <w:lastRenderedPageBreak/>
        <w:t>вновь принятые условные обязательства на год, то есть максимальный объем поручительств и (или) независимых гарантий, которые могут быть предоставлены Фондом в обеспечение обязательств субъектов МСП, организаций инфраструктуры поддержки по договорам с финансовыми организациями</w:t>
      </w:r>
      <w:r w:rsidR="007E6979" w:rsidRPr="00DF6ABA">
        <w:rPr>
          <w:rStyle w:val="af0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 xml:space="preserve"> и (или) перед заказчиком</w:t>
      </w:r>
      <w:r w:rsidRPr="00023B31">
        <w:rPr>
          <w:rFonts w:ascii="Times New Roman" w:hAnsi="Times New Roman" w:cs="Times New Roman"/>
          <w:sz w:val="24"/>
          <w:szCs w:val="24"/>
        </w:rPr>
        <w:t>, а также физических лиц</w:t>
      </w:r>
      <w:proofErr w:type="gramEnd"/>
      <w:r w:rsidRPr="00023B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3B31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023B31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24366F" w:rsidRPr="00023B31">
        <w:rPr>
          <w:rFonts w:ascii="Times New Roman" w:hAnsi="Times New Roman" w:cs="Times New Roman"/>
          <w:sz w:val="24"/>
          <w:szCs w:val="24"/>
        </w:rPr>
        <w:t>.</w:t>
      </w:r>
    </w:p>
    <w:p w:rsidR="0024366F" w:rsidRPr="00023B31" w:rsidRDefault="0024366F" w:rsidP="0024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B31">
        <w:rPr>
          <w:rFonts w:ascii="Times New Roman" w:hAnsi="Times New Roman" w:cs="Times New Roman"/>
          <w:sz w:val="24"/>
          <w:szCs w:val="24"/>
        </w:rPr>
        <w:t>В целях обеспечения приемлемого уровня рисков Фонд создает систему лимитов по операциям предоставления поручительств и (или) независимых гарантий по обязательствам субъектов МСП, физических лиц, применяющих специальный налоговый режим «Налог на профессиональный доход», и организаций инфраструктуры поддержки, которая включает в себя следующие лимиты:</w:t>
      </w:r>
    </w:p>
    <w:p w:rsidR="0024366F" w:rsidRPr="00023B31" w:rsidRDefault="0024366F" w:rsidP="002436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lang w:eastAsia="ar-SA"/>
        </w:rPr>
      </w:pPr>
      <w:r w:rsidRPr="00023B31">
        <w:rPr>
          <w:lang w:eastAsia="ar-SA"/>
        </w:rPr>
        <w:t>1) </w:t>
      </w:r>
      <w:r w:rsidR="00DB7B48" w:rsidRPr="00023B31">
        <w:rPr>
          <w:lang w:eastAsia="ar-SA"/>
        </w:rPr>
        <w:t>операционный лимит на вновь принятые условные обязательства на год;</w:t>
      </w:r>
    </w:p>
    <w:p w:rsidR="0024366F" w:rsidRPr="00023B31" w:rsidRDefault="00DB7B48" w:rsidP="002436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lang w:eastAsia="ar-SA"/>
        </w:rPr>
      </w:pPr>
      <w:r w:rsidRPr="00023B31">
        <w:rPr>
          <w:lang w:eastAsia="ar-SA"/>
        </w:rPr>
        <w:t>2) общий операционный лимит условных обязатель</w:t>
      </w:r>
      <w:proofErr w:type="gramStart"/>
      <w:r w:rsidRPr="00023B31">
        <w:rPr>
          <w:lang w:eastAsia="ar-SA"/>
        </w:rPr>
        <w:t>ств кр</w:t>
      </w:r>
      <w:proofErr w:type="gramEnd"/>
      <w:r w:rsidRPr="00023B31">
        <w:rPr>
          <w:lang w:eastAsia="ar-SA"/>
        </w:rPr>
        <w:t>едитного характера (общий операционный лимит условных обязательств);</w:t>
      </w:r>
    </w:p>
    <w:p w:rsidR="006E4183" w:rsidRPr="00023B31" w:rsidRDefault="00DB7B48" w:rsidP="00DB7B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lang w:eastAsia="ar-SA"/>
        </w:rPr>
      </w:pPr>
      <w:r w:rsidRPr="00023B31">
        <w:rPr>
          <w:lang w:eastAsia="ar-SA"/>
        </w:rPr>
        <w:t>3) </w:t>
      </w:r>
      <w:r w:rsidR="0024366F" w:rsidRPr="00023B31">
        <w:rPr>
          <w:lang w:eastAsia="ar-SA"/>
        </w:rPr>
        <w:t>лимит условных обязательств на финансовую организацию (совокупность финансовых организаций).</w:t>
      </w:r>
    </w:p>
    <w:p w:rsidR="006E4183" w:rsidRPr="00023B31" w:rsidRDefault="006E4183" w:rsidP="0024366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 Операционный лимит на вновь принятые условные обязательства на год </w:t>
      </w:r>
      <w:r w:rsidRPr="00023B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Фонда</w:t>
      </w:r>
    </w:p>
    <w:p w:rsidR="009645E4" w:rsidRPr="00023B31" w:rsidRDefault="006E4183" w:rsidP="0024366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3.1. </w:t>
      </w:r>
      <w:r w:rsidR="009645E4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Операционный лимит на вновь принятые условные обязательства на год рассчитывается исходя </w:t>
      </w:r>
      <w:proofErr w:type="gramStart"/>
      <w:r w:rsidR="009645E4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  <w:r w:rsidR="009645E4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645E4" w:rsidRPr="00023B31" w:rsidRDefault="009645E4" w:rsidP="000964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прироста капитала с начала деятельности РГО (в случае наличия);</w:t>
      </w:r>
    </w:p>
    <w:p w:rsidR="009645E4" w:rsidRPr="00023B31" w:rsidRDefault="009645E4" w:rsidP="009645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2) уровня ожидаемых потерь по вновь принятым обязательствам;</w:t>
      </w:r>
    </w:p>
    <w:p w:rsidR="009645E4" w:rsidRPr="00023B31" w:rsidRDefault="009645E4" w:rsidP="009645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3) уровня ожидаемых выплат по действующим обязательствам;</w:t>
      </w:r>
    </w:p>
    <w:p w:rsidR="009645E4" w:rsidRPr="00023B31" w:rsidRDefault="009645E4" w:rsidP="009645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4) доходов на следующий финансовый год от размещения гарантийного капитала и доходов от предоставления поручительств и (или) независимых гарантий;</w:t>
      </w:r>
    </w:p>
    <w:p w:rsidR="009645E4" w:rsidRPr="00023B31" w:rsidRDefault="009645E4" w:rsidP="009645E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планируемых операционных расходов в следующем финансовом году (включая налоговые выплаты).</w:t>
      </w:r>
    </w:p>
    <w:p w:rsidR="00096489" w:rsidRPr="00023B31" w:rsidRDefault="009645E4" w:rsidP="0009648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</w:t>
      </w:r>
      <w:r w:rsidR="00096489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Фонда по обязательствам СМСП</w:t>
      </w:r>
      <w:r w:rsidR="00096489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, физических лиц, применяющих специальный налоговый режим «Налог на профессиональный доход» и</w:t>
      </w:r>
      <w:r w:rsidR="00096489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организаций инфраструктуры поддержки в следующем финансовом году.</w:t>
      </w:r>
    </w:p>
    <w:p w:rsidR="009645E4" w:rsidRPr="00A230DD" w:rsidRDefault="006E4183" w:rsidP="00322D5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3.2</w:t>
      </w:r>
      <w:r w:rsidR="009645E4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.Операционный лимит на вновь принятые условные обязательства на год</w:t>
      </w:r>
      <w:r w:rsidR="009645E4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рассчитывается по следующей формуле:</w:t>
      </w:r>
    </w:p>
    <w:p w:rsidR="009645E4" w:rsidRPr="00023B31" w:rsidRDefault="009645E4" w:rsidP="00322D5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793B1" wp14:editId="3249E76F">
            <wp:extent cx="2048510" cy="467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Л - операционный лимит на вновь принятые условные обязательства на год в рублях;</w:t>
      </w: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Д - планируемый на следующий год доход от размещения временно свободных средств Фонда и доход от предоставления поручительств и (или) независимых гарантий за вычетом операционных расходов за указанный период (включая налоговые выплаты) в рублях;</w:t>
      </w: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406A02" wp14:editId="3A2FC304">
            <wp:extent cx="248920" cy="19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прирост капитала с момента создания Фонда в части, которая может быть направлена на выплаты по поручительствам и (или) независимым гарантиям согласно нормативным документам Фонд в рублях;</w:t>
      </w:r>
    </w:p>
    <w:p w:rsidR="009645E4" w:rsidRPr="00023B31" w:rsidRDefault="009645E4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В - ожидаемые выплаты по действующим на начало года поручительствам и (или) независимым гарантиям за весь оставшийся срок существования таких поручительств и (или) независимых гарантий в рублях;</w:t>
      </w:r>
    </w:p>
    <w:p w:rsidR="00F0155E" w:rsidRPr="00023B31" w:rsidRDefault="00F0155E" w:rsidP="00F0155E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B31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023B31">
        <w:rPr>
          <w:rFonts w:ascii="Times New Roman" w:hAnsi="Times New Roman" w:cs="Times New Roman"/>
          <w:sz w:val="24"/>
          <w:szCs w:val="24"/>
        </w:rPr>
        <w:t xml:space="preserve"> - прогнозный уровень ожидаемых потерь (в процентах) по предоставленным за следующий год поручительствам и (или) независимым гарантиям за весь срок существования таких поручительств и (или) независимых гарантий.</w:t>
      </w:r>
    </w:p>
    <w:p w:rsidR="009645E4" w:rsidRPr="00023B31" w:rsidRDefault="006E4183" w:rsidP="009645E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3.3</w:t>
      </w:r>
      <w:r w:rsidR="009645E4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 В целях подсчета операционного лимита на вновь принятые условные обязательства на год Фонд  планирует показатели, установленные </w:t>
      </w:r>
      <w:hyperlink w:anchor="sub_15011" w:history="1">
        <w:r w:rsidR="009645E4" w:rsidRPr="00023B31">
          <w:rPr>
            <w:rStyle w:val="af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подпунктами 1-5 пункта 3</w:t>
        </w:r>
      </w:hyperlink>
      <w:r w:rsidR="009645E4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Методики таким образом, чтобы значение операционного лимита на вновь принятые условные обязательства на год принимало положительное значение.</w:t>
      </w:r>
    </w:p>
    <w:p w:rsidR="0024366F" w:rsidRPr="00023B31" w:rsidRDefault="006E4183" w:rsidP="00DB7B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3.4</w:t>
      </w:r>
      <w:r w:rsidR="00AD265C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F65F8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proofErr w:type="gramStart"/>
      <w:r w:rsidR="00DA1829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Пересчет операционного лимита </w:t>
      </w:r>
      <w:r w:rsidR="00AD265C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DA1829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вновь принятые условные обязательства на год в рамках установленного срока его действия осуществляется при изменении базы расчета, уточнении </w:t>
      </w:r>
      <w:r w:rsidR="00DA1829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фактических показателей доходов от размещения временно свободных средств </w:t>
      </w:r>
      <w:r w:rsidR="00AD265C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</w:t>
      </w:r>
      <w:r w:rsidR="00125E02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AD265C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DA1829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вознаграждения за выданные поручительства, суммы операционных расходов, фактического уровня исполнения обязательств </w:t>
      </w:r>
      <w:r w:rsidR="00AD265C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DA1829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МСП, организ</w:t>
      </w:r>
      <w:r w:rsidR="00222CA5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ациями инфраструктуры поддержки, а также физическими лицами, применяющими специальный налоговый режим «Налог на профессиональный доход</w:t>
      </w:r>
      <w:proofErr w:type="gramEnd"/>
      <w:r w:rsidR="00222CA5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», </w:t>
      </w:r>
      <w:r w:rsidR="00DA1829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поручительствам и (или) независимым гарантиям, </w:t>
      </w:r>
      <w:r w:rsidR="00222CA5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A1829" w:rsidRPr="00A230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предоставленным в следующем финансовом</w:t>
      </w:r>
      <w:r w:rsidR="00DA1829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или иных экономических факторов, оказывающих или способных оказать в будущем влияние на деятельность </w:t>
      </w:r>
      <w:r w:rsidR="00AD265C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Фонда</w:t>
      </w:r>
      <w:r w:rsidR="00DA1829" w:rsidRPr="00023B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E4183" w:rsidRPr="00023B31" w:rsidRDefault="006E4183" w:rsidP="006E418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23B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 Общий операционн</w:t>
      </w:r>
      <w:r w:rsidR="00DB7B48" w:rsidRPr="00023B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ый лимит</w:t>
      </w:r>
      <w:r w:rsidRPr="00023B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условных обязательств Фонда</w:t>
      </w:r>
    </w:p>
    <w:p w:rsidR="006E4183" w:rsidRPr="00023B31" w:rsidRDefault="006E4183" w:rsidP="006E4183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4.1. Общий операционный лимит условных обязательств</w:t>
      </w:r>
      <w:r w:rsidRPr="00023B31">
        <w:rPr>
          <w:rFonts w:ascii="Times New Roman" w:hAnsi="Times New Roman" w:cs="Times New Roman"/>
          <w:sz w:val="24"/>
          <w:szCs w:val="24"/>
        </w:rPr>
        <w:t xml:space="preserve"> Фонда рассчитывается по следующей формуле:</w:t>
      </w:r>
    </w:p>
    <w:p w:rsidR="006E4183" w:rsidRPr="00023B31" w:rsidRDefault="006E4183" w:rsidP="006E4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3B31">
        <w:rPr>
          <w:rFonts w:ascii="Times New Roman" w:hAnsi="Times New Roman" w:cs="Times New Roman"/>
          <w:b/>
          <w:sz w:val="24"/>
          <w:szCs w:val="24"/>
        </w:rPr>
        <w:t>ООЛУо</w:t>
      </w:r>
      <w:proofErr w:type="spellEnd"/>
      <w:r w:rsidRPr="00023B31">
        <w:rPr>
          <w:rFonts w:ascii="Times New Roman" w:hAnsi="Times New Roman" w:cs="Times New Roman"/>
          <w:b/>
          <w:sz w:val="24"/>
          <w:szCs w:val="24"/>
        </w:rPr>
        <w:t xml:space="preserve"> = ((ОЛ + ДП)</w:t>
      </w:r>
      <w:proofErr w:type="gramEnd"/>
    </w:p>
    <w:p w:rsidR="006E4183" w:rsidRPr="00023B31" w:rsidRDefault="006E4183" w:rsidP="006E4183">
      <w:pPr>
        <w:pStyle w:val="ConsPlusNormal"/>
        <w:widowControl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proofErr w:type="spellStart"/>
      <w:r w:rsidRPr="00023B31">
        <w:rPr>
          <w:rFonts w:ascii="Times New Roman" w:hAnsi="Times New Roman" w:cs="Times New Roman"/>
          <w:b/>
          <w:sz w:val="24"/>
          <w:szCs w:val="24"/>
        </w:rPr>
        <w:t>ООЛУо</w:t>
      </w:r>
      <w:proofErr w:type="spellEnd"/>
      <w:r w:rsidRPr="00023B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23B31">
        <w:rPr>
          <w:rFonts w:ascii="Times New Roman" w:hAnsi="Times New Roman" w:cs="Calibri"/>
          <w:sz w:val="24"/>
          <w:szCs w:val="24"/>
          <w:lang w:eastAsia="ar-SA"/>
        </w:rPr>
        <w:t>общий операционный лимит условных обязательств</w:t>
      </w:r>
    </w:p>
    <w:p w:rsidR="006E4183" w:rsidRPr="00023B31" w:rsidRDefault="006E4183" w:rsidP="006E4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3B31">
        <w:rPr>
          <w:rFonts w:ascii="Times New Roman" w:hAnsi="Times New Roman" w:cs="Times New Roman"/>
          <w:b/>
          <w:sz w:val="24"/>
          <w:szCs w:val="24"/>
        </w:rPr>
        <w:t>ОЛ</w:t>
      </w:r>
      <w:r w:rsidRPr="00023B31">
        <w:rPr>
          <w:rFonts w:ascii="Times New Roman" w:hAnsi="Times New Roman" w:cs="Times New Roman"/>
          <w:sz w:val="24"/>
          <w:szCs w:val="24"/>
        </w:rPr>
        <w:t xml:space="preserve"> – операционный лимит на вновь принятые условные обязательства на год, утверждённые </w:t>
      </w:r>
      <w:r w:rsidRPr="00023B31">
        <w:rPr>
          <w:rFonts w:ascii="Times New Roman" w:hAnsi="Times New Roman" w:cs="Times New Roman"/>
          <w:bCs/>
          <w:sz w:val="24"/>
          <w:szCs w:val="24"/>
        </w:rPr>
        <w:t xml:space="preserve">Методикой расчета операционного лимита на вновь принятые условные обязательства на год </w:t>
      </w:r>
      <w:r w:rsidRPr="00023B31">
        <w:rPr>
          <w:rFonts w:ascii="Times New Roman" w:hAnsi="Times New Roman" w:cs="Times New Roman"/>
          <w:sz w:val="24"/>
          <w:szCs w:val="24"/>
        </w:rPr>
        <w:t xml:space="preserve">ООО «ГФПП </w:t>
      </w:r>
      <w:proofErr w:type="gramStart"/>
      <w:r w:rsidRPr="00023B3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23B31">
        <w:rPr>
          <w:rFonts w:ascii="Times New Roman" w:hAnsi="Times New Roman" w:cs="Times New Roman"/>
          <w:sz w:val="24"/>
          <w:szCs w:val="24"/>
        </w:rPr>
        <w:t>».</w:t>
      </w:r>
    </w:p>
    <w:p w:rsidR="006E4183" w:rsidRPr="00023B31" w:rsidRDefault="006E4183" w:rsidP="006E418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31">
        <w:rPr>
          <w:rFonts w:ascii="Times New Roman" w:hAnsi="Times New Roman" w:cs="Times New Roman"/>
          <w:b/>
          <w:sz w:val="24"/>
          <w:szCs w:val="24"/>
        </w:rPr>
        <w:t>ДП</w:t>
      </w:r>
      <w:r w:rsidRPr="00023B31">
        <w:rPr>
          <w:rFonts w:ascii="Times New Roman" w:hAnsi="Times New Roman" w:cs="Times New Roman"/>
          <w:sz w:val="24"/>
          <w:szCs w:val="24"/>
        </w:rPr>
        <w:t>-действующий портфель поручительств.</w:t>
      </w:r>
    </w:p>
    <w:p w:rsidR="006E4183" w:rsidRPr="00023B31" w:rsidRDefault="006E4183" w:rsidP="006E41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3B31">
        <w:rPr>
          <w:rFonts w:ascii="Times New Roman" w:hAnsi="Times New Roman"/>
          <w:sz w:val="24"/>
          <w:szCs w:val="24"/>
        </w:rPr>
        <w:t>4.2. </w:t>
      </w:r>
      <w:proofErr w:type="gramStart"/>
      <w:r w:rsidRPr="00023B31">
        <w:rPr>
          <w:rFonts w:ascii="Times New Roman" w:hAnsi="Times New Roman"/>
          <w:sz w:val="24"/>
          <w:szCs w:val="24"/>
        </w:rPr>
        <w:t xml:space="preserve">Методика расчета общего операционного лимита условных обязательств должна основываться на соблюдении принципа сохранности и целевого использования денежных средств, поступивших из бюджетов всех уровней, учитывать общий объем финансовых активов и денежных средств Фонда, доходность финансовых активов, объем действующих обязательств, плановое изменение (прекращение) действующих обязательств, уровень платежей Фонда по исполнению обязательств, уровень операционных расходов.  </w:t>
      </w:r>
      <w:proofErr w:type="gramEnd"/>
    </w:p>
    <w:p w:rsidR="006E4183" w:rsidRPr="00023B31" w:rsidRDefault="006E4183" w:rsidP="006E418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3B31">
        <w:rPr>
          <w:rFonts w:ascii="Times New Roman" w:hAnsi="Times New Roman"/>
          <w:sz w:val="24"/>
          <w:szCs w:val="24"/>
        </w:rPr>
        <w:t>4.3. Расчет общего операционного лимита условных обязательств осуществляется не менее чем на один год деятельности Фонда.</w:t>
      </w:r>
    </w:p>
    <w:p w:rsidR="006E4183" w:rsidRPr="00023B31" w:rsidRDefault="006E4183" w:rsidP="006E418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B31">
        <w:rPr>
          <w:rFonts w:ascii="Times New Roman" w:hAnsi="Times New Roman"/>
          <w:bCs/>
          <w:sz w:val="24"/>
          <w:szCs w:val="24"/>
        </w:rPr>
        <w:t>4.4.</w:t>
      </w:r>
      <w:r w:rsidRPr="00023B31">
        <w:rPr>
          <w:rFonts w:ascii="Times New Roman" w:hAnsi="Times New Roman"/>
          <w:sz w:val="24"/>
          <w:szCs w:val="24"/>
        </w:rPr>
        <w:t> Общий операционный лимит условных обязательств, полученный расчетным путем, может быть скорректирован с целью учета прочих экономических факторов, оказывающих влияние на деятельность Фонда в текущем времени или способных оказать такое влияние в будущем, при этом скорректированный таким образом общий лимит поручительств Фонда не может быть выше расчетного более чем на 20%.</w:t>
      </w:r>
    </w:p>
    <w:p w:rsidR="006E4183" w:rsidRPr="00023B31" w:rsidRDefault="006E4183" w:rsidP="006E4183">
      <w:pPr>
        <w:pStyle w:val="ConsPlusNormal"/>
        <w:widowControl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Times New Roman"/>
          <w:sz w:val="24"/>
          <w:szCs w:val="24"/>
        </w:rPr>
        <w:t xml:space="preserve">4.5. Основанием для пересчёта общего операционного лимита условных обязательств Фонда является изменение базы расчёта, уточнение фактических показателей доходов от </w:t>
      </w:r>
      <w:r w:rsidRPr="00023B31">
        <w:rPr>
          <w:rFonts w:ascii="Times New Roman" w:hAnsi="Times New Roman" w:cs="Calibri"/>
          <w:sz w:val="24"/>
          <w:szCs w:val="24"/>
          <w:lang w:eastAsia="ar-SA"/>
        </w:rPr>
        <w:t>размещения денежных средств и вознаграждения за выданные поручительства, суммы операционных расходов, суммы платежей Фонда по исполнению обязательств заёмщиков перед Банками (выплат по договорам поручительства).</w:t>
      </w:r>
    </w:p>
    <w:p w:rsidR="0024366F" w:rsidRPr="00023B31" w:rsidRDefault="006E4183" w:rsidP="00DB7B48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4. 6. Лимиты на Банки, участвующие в программе Фонда, устанавливаются генеральным директором Фонда по согласованию с департаментом экономического развития Костромской области. Изменение лимитов Фонда, в том числе установленных на конкретный Банк, также осуществляется на основании решения высшего органа управления Фонда.</w:t>
      </w:r>
    </w:p>
    <w:p w:rsidR="006E4183" w:rsidRPr="00023B31" w:rsidRDefault="006E4183" w:rsidP="006E4183">
      <w:pPr>
        <w:pStyle w:val="ConsPlusNormal"/>
        <w:ind w:firstLine="709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b/>
          <w:sz w:val="24"/>
          <w:szCs w:val="24"/>
          <w:lang w:eastAsia="ar-SA"/>
        </w:rPr>
        <w:t>5. Лимит условных обязательств на финансовую организацию</w:t>
      </w:r>
    </w:p>
    <w:p w:rsidR="006E4183" w:rsidRPr="00023B31" w:rsidRDefault="000446C8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5.1. </w:t>
      </w:r>
      <w:r w:rsidR="006E4183" w:rsidRPr="00023B31">
        <w:rPr>
          <w:rFonts w:ascii="Times New Roman" w:hAnsi="Times New Roman" w:cs="Calibri"/>
          <w:sz w:val="24"/>
          <w:szCs w:val="24"/>
          <w:lang w:eastAsia="ar-SA"/>
        </w:rPr>
        <w:t xml:space="preserve">Лимит условных обязательств на финансовую организацию (совокупность </w:t>
      </w:r>
      <w:r w:rsidR="006E4183" w:rsidRPr="00023B31">
        <w:rPr>
          <w:rFonts w:ascii="Times New Roman" w:hAnsi="Times New Roman" w:cs="Calibri"/>
          <w:sz w:val="24"/>
          <w:szCs w:val="24"/>
          <w:lang w:eastAsia="ar-SA"/>
        </w:rPr>
        <w:lastRenderedPageBreak/>
        <w:t>финансовых организаций) устанавливается в целях ограничения объема возможных выплат по поручительствам и (или) независимым гарантиям, предоставленным финансовой организации (совокупности финансовых организаций).</w:t>
      </w:r>
    </w:p>
    <w:p w:rsidR="0024366F" w:rsidRPr="00023B31" w:rsidRDefault="000446C8" w:rsidP="0024366F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5.2. </w:t>
      </w:r>
      <w:r w:rsidR="0024366F" w:rsidRPr="00023B31">
        <w:rPr>
          <w:rFonts w:ascii="Times New Roman" w:hAnsi="Times New Roman" w:cs="Calibri"/>
          <w:sz w:val="24"/>
          <w:szCs w:val="24"/>
          <w:lang w:eastAsia="ar-SA"/>
        </w:rPr>
        <w:t xml:space="preserve">Лимит условных обязательств на финансовую организацию устанавливается высшим или иным уполномоченным органом управления </w:t>
      </w:r>
      <w:r w:rsidR="00D43F32" w:rsidRPr="00023B31">
        <w:rPr>
          <w:rFonts w:ascii="Times New Roman" w:hAnsi="Times New Roman" w:cs="Calibri"/>
          <w:sz w:val="24"/>
          <w:szCs w:val="24"/>
          <w:lang w:eastAsia="ar-SA"/>
        </w:rPr>
        <w:t xml:space="preserve">Фонда </w:t>
      </w:r>
      <w:r w:rsidR="0024366F" w:rsidRPr="00023B31">
        <w:rPr>
          <w:rFonts w:ascii="Times New Roman" w:hAnsi="Times New Roman" w:cs="Calibri"/>
          <w:sz w:val="24"/>
          <w:szCs w:val="24"/>
          <w:lang w:eastAsia="ar-SA"/>
        </w:rPr>
        <w:t>на 1 (первое) число текущего финансового года и не должен превышать:</w:t>
      </w:r>
    </w:p>
    <w:p w:rsidR="0024366F" w:rsidRPr="00023B31" w:rsidRDefault="0024366F" w:rsidP="0024366F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1) 40% от общего операционного лимита условных обязательств с гарантийным капиталом более 300 млн. рублей и менее 700 млн. рублей;</w:t>
      </w:r>
    </w:p>
    <w:p w:rsidR="006E4183" w:rsidRPr="00023B31" w:rsidRDefault="0024366F" w:rsidP="0024366F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2) 60% от общего операционного лимита условных обязательств  с гарантийным капиталом менее 300 млн. рублей.</w:t>
      </w:r>
    </w:p>
    <w:p w:rsidR="006E4183" w:rsidRPr="00023B31" w:rsidRDefault="000446C8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5.3. </w:t>
      </w:r>
      <w:r w:rsidR="006E4183" w:rsidRPr="00023B31">
        <w:rPr>
          <w:rFonts w:ascii="Times New Roman" w:hAnsi="Times New Roman" w:cs="Calibri"/>
          <w:sz w:val="24"/>
          <w:szCs w:val="24"/>
          <w:lang w:eastAsia="ar-SA"/>
        </w:rPr>
        <w:t>Решение об установлении общего лимита поручительств Фонда и лимиты на Банки, участвующие в программе Фонда, доводится до сведения Банка в течение 5 (Пяти) рабочих дней с момента его принятия в письменной форме.</w:t>
      </w:r>
    </w:p>
    <w:p w:rsidR="006E4183" w:rsidRPr="00023B31" w:rsidRDefault="000446C8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5.4.</w:t>
      </w:r>
      <w:r w:rsidR="006E4183" w:rsidRPr="00023B31">
        <w:rPr>
          <w:rFonts w:ascii="Times New Roman" w:hAnsi="Times New Roman" w:cs="Calibri"/>
          <w:sz w:val="24"/>
          <w:szCs w:val="24"/>
          <w:lang w:eastAsia="ar-SA"/>
        </w:rPr>
        <w:t xml:space="preserve"> Изменение лимитов условных обязательств осуществляется высшим органом управления в следующих случаях:</w:t>
      </w:r>
    </w:p>
    <w:p w:rsidR="006E4183" w:rsidRPr="00023B31" w:rsidRDefault="006E4183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1) пересчета операционного лимита на вновь принятые условные обязательства на год;</w:t>
      </w:r>
    </w:p>
    <w:p w:rsidR="006E4183" w:rsidRPr="00023B31" w:rsidRDefault="006E4183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2) использования установленного лимита условных обязательств на финансовую организацию в размере менее 50% по итогам 2 (двух) кварталов текущего финансового года;</w:t>
      </w:r>
    </w:p>
    <w:p w:rsidR="006E4183" w:rsidRPr="00023B31" w:rsidRDefault="006E4183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3) поступления заявления финансовой организации об изменении лимита;</w:t>
      </w:r>
    </w:p>
    <w:p w:rsidR="006E4183" w:rsidRPr="00023B31" w:rsidRDefault="006E4183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4) использования установленного лимита условных обязательств на финансовую организацию в размере 80% в текущем финансовом году;</w:t>
      </w:r>
    </w:p>
    <w:p w:rsidR="006E4183" w:rsidRPr="00023B31" w:rsidRDefault="006E4183" w:rsidP="006E4183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5) превышения финансовой организацией допустимых размеров убытков в портфеле Фонда. Допустимый размер убытков в отношении отдельной финансовой организации Фондом  устанавливается самостоятельно;</w:t>
      </w:r>
    </w:p>
    <w:p w:rsidR="0024366F" w:rsidRPr="00023B31" w:rsidRDefault="006E4183" w:rsidP="00DB7B48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6) перераспределения лимитов вследствие уменьшения лимитов на определенные фина</w:t>
      </w:r>
      <w:r w:rsidR="000446C8" w:rsidRPr="00023B31">
        <w:rPr>
          <w:rFonts w:ascii="Times New Roman" w:hAnsi="Times New Roman" w:cs="Calibri"/>
          <w:sz w:val="24"/>
          <w:szCs w:val="24"/>
          <w:lang w:eastAsia="ar-SA"/>
        </w:rPr>
        <w:t>нсовые организации.</w:t>
      </w:r>
    </w:p>
    <w:p w:rsidR="00492350" w:rsidRPr="00DF6ABA" w:rsidRDefault="00492350" w:rsidP="00492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 xml:space="preserve">5.4.1. </w:t>
      </w:r>
      <w:proofErr w:type="gramStart"/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>По решению высшего органа управления Фонда лимит условных обязательств на финансовую организацию может быть перераспределен по основаниям, установленным </w:t>
      </w:r>
      <w:hyperlink r:id="rId15" w:anchor="/document/71566218/entry/1592" w:history="1">
        <w:r w:rsidRPr="00DF6ABA">
          <w:rPr>
            <w:rFonts w:ascii="Times New Roman" w:hAnsi="Times New Roman" w:cs="Times New Roman"/>
            <w:color w:val="22272F"/>
            <w:sz w:val="24"/>
            <w:szCs w:val="24"/>
            <w:lang w:eastAsia="ar-SA"/>
          </w:rPr>
          <w:t>подпунктами 2</w:t>
        </w:r>
      </w:hyperlink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>, </w:t>
      </w:r>
      <w:hyperlink r:id="rId16" w:anchor="/document/71566218/entry/1594" w:history="1">
        <w:r w:rsidRPr="00DF6ABA">
          <w:rPr>
            <w:rFonts w:ascii="Times New Roman" w:hAnsi="Times New Roman" w:cs="Times New Roman"/>
            <w:color w:val="22272F"/>
            <w:sz w:val="24"/>
            <w:szCs w:val="24"/>
            <w:lang w:eastAsia="ar-SA"/>
          </w:rPr>
          <w:t>4</w:t>
        </w:r>
      </w:hyperlink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>, </w:t>
      </w:r>
      <w:hyperlink r:id="rId17" w:anchor="/document/71566218/entry/1595" w:history="1">
        <w:r w:rsidRPr="00DF6ABA">
          <w:rPr>
            <w:rFonts w:ascii="Times New Roman" w:hAnsi="Times New Roman" w:cs="Times New Roman"/>
            <w:color w:val="22272F"/>
            <w:sz w:val="24"/>
            <w:szCs w:val="24"/>
            <w:lang w:eastAsia="ar-SA"/>
          </w:rPr>
          <w:t>5 пункта 5.4</w:t>
        </w:r>
      </w:hyperlink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> настоящего Порядка, на кредитные организации, определенные в качестве системно значимых на основании </w:t>
      </w:r>
      <w:hyperlink r:id="rId18" w:anchor="/document/400794152/entry/0" w:history="1">
        <w:r w:rsidRPr="00DF6ABA">
          <w:rPr>
            <w:rFonts w:ascii="Times New Roman" w:hAnsi="Times New Roman" w:cs="Times New Roman"/>
            <w:color w:val="22272F"/>
            <w:sz w:val="24"/>
            <w:szCs w:val="24"/>
            <w:lang w:eastAsia="ar-SA"/>
          </w:rPr>
          <w:t>методики</w:t>
        </w:r>
      </w:hyperlink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 xml:space="preserve"> определения системно значимых кредитных организаций, установленной нормативным актом Банка России в соответствии с </w:t>
      </w:r>
      <w:hyperlink r:id="rId19" w:anchor="/document/12127405/entry/760018" w:history="1">
        <w:r w:rsidRPr="00DF6ABA">
          <w:rPr>
            <w:rFonts w:ascii="Times New Roman" w:hAnsi="Times New Roman" w:cs="Times New Roman"/>
            <w:color w:val="22272F"/>
            <w:sz w:val="24"/>
            <w:szCs w:val="24"/>
            <w:lang w:eastAsia="ar-SA"/>
          </w:rPr>
          <w:t>частью шестой статьи 57</w:t>
        </w:r>
      </w:hyperlink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> Федерального закона от 10 июля 2002</w:t>
      </w:r>
      <w:proofErr w:type="gramEnd"/>
      <w:r w:rsidRPr="00DF6ABA">
        <w:rPr>
          <w:rFonts w:ascii="Times New Roman" w:hAnsi="Times New Roman" w:cs="Times New Roman"/>
          <w:color w:val="22272F"/>
          <w:sz w:val="24"/>
          <w:szCs w:val="24"/>
          <w:lang w:eastAsia="ar-SA"/>
        </w:rPr>
        <w:t> г. N 86-ФЗ "О Центральном банке Российской Федерации (Банке России)" (Собрание законодательства Российской Федерации, 2002, N 28, ст. 2790), и не должен превышать 70% от общего операционного лимита условных обязательств Фонда.</w:t>
      </w:r>
    </w:p>
    <w:p w:rsidR="0070058B" w:rsidRDefault="0070058B" w:rsidP="00DB7B48">
      <w:pPr>
        <w:pStyle w:val="ConsPlusNormal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23B31">
        <w:rPr>
          <w:rFonts w:ascii="Times New Roman" w:hAnsi="Times New Roman" w:cs="Calibri"/>
          <w:sz w:val="24"/>
          <w:szCs w:val="24"/>
          <w:lang w:eastAsia="ar-SA"/>
        </w:rPr>
        <w:t>5.5. Изменение  лимита поручительств в рамках действующих соглашений о сотрудничестве устанавливается генеральным директором Фонда.</w:t>
      </w:r>
    </w:p>
    <w:p w:rsidR="001F0DA6" w:rsidRPr="00023B31" w:rsidRDefault="000446C8" w:rsidP="00C2270B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23B31">
        <w:rPr>
          <w:rFonts w:ascii="Times New Roman" w:hAnsi="Times New Roman"/>
          <w:color w:val="000000"/>
          <w:sz w:val="24"/>
          <w:szCs w:val="24"/>
        </w:rPr>
        <w:t>6</w:t>
      </w:r>
      <w:r w:rsidR="00C457CE" w:rsidRPr="00023B31">
        <w:rPr>
          <w:rFonts w:ascii="Times New Roman" w:hAnsi="Times New Roman"/>
          <w:color w:val="000000"/>
          <w:sz w:val="24"/>
          <w:szCs w:val="24"/>
        </w:rPr>
        <w:t>. </w:t>
      </w:r>
      <w:proofErr w:type="gramStart"/>
      <w:r w:rsidR="001F0DA6" w:rsidRPr="00023B31">
        <w:rPr>
          <w:rFonts w:ascii="Times New Roman" w:hAnsi="Times New Roman"/>
          <w:color w:val="000000"/>
          <w:sz w:val="24"/>
          <w:szCs w:val="24"/>
        </w:rPr>
        <w:t xml:space="preserve">Установить, что положения настоящего Порядка, касающиеся оказания поддержки физическим лицам,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 ноября 2018 г. </w:t>
      </w:r>
      <w:r w:rsidR="0070058B" w:rsidRPr="00023B31">
        <w:rPr>
          <w:rFonts w:ascii="Times New Roman" w:hAnsi="Times New Roman"/>
          <w:color w:val="000000"/>
          <w:sz w:val="24"/>
          <w:szCs w:val="24"/>
        </w:rPr>
        <w:t>№ </w:t>
      </w:r>
      <w:r w:rsidR="001F0DA6" w:rsidRPr="00023B31">
        <w:rPr>
          <w:rFonts w:ascii="Times New Roman" w:hAnsi="Times New Roman"/>
          <w:color w:val="000000"/>
          <w:sz w:val="24"/>
          <w:szCs w:val="24"/>
        </w:rPr>
        <w:t>422-ФЗ «О проведении эксперимента по установлению специального налогового режима «Налог на профессиональный доход» (Собрание законодательства Российской Федерации, 2018, №49, ст. 7494;</w:t>
      </w:r>
      <w:proofErr w:type="gramEnd"/>
      <w:r w:rsidR="001F0DA6" w:rsidRPr="00023B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F0DA6" w:rsidRPr="00023B31">
        <w:rPr>
          <w:rFonts w:ascii="Times New Roman" w:hAnsi="Times New Roman"/>
          <w:color w:val="000000"/>
          <w:sz w:val="24"/>
          <w:szCs w:val="24"/>
        </w:rPr>
        <w:t>2020, №24, ст. 3740).</w:t>
      </w:r>
      <w:proofErr w:type="gramEnd"/>
    </w:p>
    <w:p w:rsidR="00961B7B" w:rsidRPr="00023B31" w:rsidRDefault="000446C8" w:rsidP="00C2270B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23B31">
        <w:rPr>
          <w:rFonts w:ascii="Times New Roman" w:hAnsi="Times New Roman"/>
          <w:color w:val="000000"/>
          <w:sz w:val="24"/>
          <w:szCs w:val="24"/>
        </w:rPr>
        <w:t>7</w:t>
      </w:r>
      <w:r w:rsidR="001F0DA6" w:rsidRPr="00023B31">
        <w:rPr>
          <w:rFonts w:ascii="Times New Roman" w:hAnsi="Times New Roman"/>
          <w:color w:val="000000"/>
          <w:sz w:val="24"/>
          <w:szCs w:val="24"/>
        </w:rPr>
        <w:t>.</w:t>
      </w:r>
      <w:r w:rsidR="00900BDE" w:rsidRPr="00023B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3B31">
        <w:rPr>
          <w:rFonts w:ascii="Times New Roman" w:hAnsi="Times New Roman"/>
          <w:color w:val="000000"/>
          <w:sz w:val="24"/>
          <w:szCs w:val="24"/>
        </w:rPr>
        <w:t xml:space="preserve">Настоящий Порядок </w:t>
      </w:r>
      <w:r w:rsidR="00CC11D0" w:rsidRPr="00023B31">
        <w:rPr>
          <w:rFonts w:ascii="Times New Roman" w:hAnsi="Times New Roman"/>
          <w:color w:val="000000"/>
          <w:sz w:val="24"/>
          <w:szCs w:val="24"/>
        </w:rPr>
        <w:t xml:space="preserve">утверждается решением высшего органа управления Фонда и подлежит опубликованию на официальном сайте ООО «ГФПП </w:t>
      </w:r>
      <w:proofErr w:type="gramStart"/>
      <w:r w:rsidR="00CC11D0" w:rsidRPr="00023B31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="00CC11D0" w:rsidRPr="00023B31">
        <w:rPr>
          <w:rFonts w:ascii="Times New Roman" w:hAnsi="Times New Roman"/>
          <w:color w:val="000000"/>
          <w:sz w:val="24"/>
          <w:szCs w:val="24"/>
        </w:rPr>
        <w:t>».</w:t>
      </w:r>
    </w:p>
    <w:p w:rsidR="00750514" w:rsidRPr="00023B31" w:rsidRDefault="000446C8" w:rsidP="00C2270B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023B31">
        <w:rPr>
          <w:rFonts w:ascii="Times New Roman" w:hAnsi="Times New Roman"/>
          <w:color w:val="000000"/>
          <w:sz w:val="24"/>
          <w:szCs w:val="24"/>
        </w:rPr>
        <w:t xml:space="preserve">8. Настоящий Порядок </w:t>
      </w:r>
      <w:r w:rsidR="00961B7B" w:rsidRPr="00023B31">
        <w:rPr>
          <w:rFonts w:ascii="Times New Roman" w:hAnsi="Times New Roman"/>
          <w:color w:val="000000"/>
          <w:sz w:val="24"/>
          <w:szCs w:val="24"/>
        </w:rPr>
        <w:t>может быть изменен</w:t>
      </w:r>
      <w:r w:rsidRPr="00023B31">
        <w:rPr>
          <w:rFonts w:ascii="Times New Roman" w:hAnsi="Times New Roman"/>
          <w:color w:val="000000"/>
          <w:sz w:val="24"/>
          <w:szCs w:val="24"/>
        </w:rPr>
        <w:t>, дополнен, отменен</w:t>
      </w:r>
      <w:r w:rsidR="00961B7B" w:rsidRPr="00023B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C11D0" w:rsidRPr="00023B31">
        <w:rPr>
          <w:rFonts w:ascii="Times New Roman" w:hAnsi="Times New Roman"/>
          <w:color w:val="000000"/>
          <w:sz w:val="24"/>
          <w:szCs w:val="24"/>
        </w:rPr>
        <w:t>решением высшего органа управления Фонда.</w:t>
      </w:r>
    </w:p>
    <w:p w:rsidR="00C2270B" w:rsidRPr="00B30655" w:rsidRDefault="000446C8" w:rsidP="00096489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023B31">
        <w:rPr>
          <w:rFonts w:ascii="Times New Roman" w:hAnsi="Times New Roman"/>
          <w:color w:val="000000"/>
          <w:sz w:val="24"/>
          <w:szCs w:val="24"/>
        </w:rPr>
        <w:t>9</w:t>
      </w:r>
      <w:r w:rsidR="004A28F9" w:rsidRPr="00023B31">
        <w:rPr>
          <w:rFonts w:ascii="Times New Roman" w:hAnsi="Times New Roman"/>
          <w:color w:val="000000"/>
          <w:sz w:val="24"/>
          <w:szCs w:val="24"/>
        </w:rPr>
        <w:t>. </w:t>
      </w:r>
      <w:r w:rsidR="00C2270B" w:rsidRPr="00023B31">
        <w:rPr>
          <w:rFonts w:ascii="Times New Roman" w:hAnsi="Times New Roman"/>
          <w:color w:val="000000"/>
          <w:sz w:val="24"/>
          <w:szCs w:val="24"/>
        </w:rPr>
        <w:t>Во всем ином,</w:t>
      </w:r>
      <w:r w:rsidRPr="00023B31">
        <w:rPr>
          <w:rFonts w:ascii="Times New Roman" w:hAnsi="Times New Roman"/>
          <w:color w:val="000000"/>
          <w:sz w:val="24"/>
          <w:szCs w:val="24"/>
        </w:rPr>
        <w:t xml:space="preserve"> что не предусмотрено настоящим Порядком </w:t>
      </w:r>
      <w:r w:rsidR="00C2270B" w:rsidRPr="00023B31">
        <w:rPr>
          <w:rFonts w:ascii="Times New Roman" w:hAnsi="Times New Roman"/>
          <w:color w:val="000000"/>
          <w:sz w:val="24"/>
          <w:szCs w:val="24"/>
        </w:rPr>
        <w:t>следует руководствоваться нормами действующего законодател</w:t>
      </w:r>
      <w:r w:rsidR="00C2270B" w:rsidRPr="008A03FE">
        <w:rPr>
          <w:rFonts w:ascii="Times New Roman" w:hAnsi="Times New Roman"/>
          <w:color w:val="000000"/>
          <w:sz w:val="24"/>
          <w:szCs w:val="24"/>
        </w:rPr>
        <w:t>ьства Российской Федерации.</w:t>
      </w:r>
    </w:p>
    <w:sectPr w:rsidR="00C2270B" w:rsidRPr="00B30655" w:rsidSect="002913C5">
      <w:footerReference w:type="default" r:id="rId2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79" w:rsidRDefault="007E6979" w:rsidP="00D871F7">
      <w:pPr>
        <w:spacing w:after="0" w:line="240" w:lineRule="auto"/>
      </w:pPr>
      <w:r>
        <w:separator/>
      </w:r>
    </w:p>
  </w:endnote>
  <w:endnote w:type="continuationSeparator" w:id="0">
    <w:p w:rsidR="007E6979" w:rsidRDefault="007E6979" w:rsidP="00D8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49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E6979" w:rsidRPr="00961B7B" w:rsidRDefault="007E6979">
        <w:pPr>
          <w:pStyle w:val="ad"/>
          <w:jc w:val="center"/>
          <w:rPr>
            <w:rFonts w:ascii="Times New Roman" w:hAnsi="Times New Roman" w:cs="Times New Roman"/>
          </w:rPr>
        </w:pPr>
        <w:r w:rsidRPr="00961B7B">
          <w:rPr>
            <w:rFonts w:ascii="Times New Roman" w:hAnsi="Times New Roman" w:cs="Times New Roman"/>
          </w:rPr>
          <w:fldChar w:fldCharType="begin"/>
        </w:r>
        <w:r w:rsidRPr="00961B7B">
          <w:rPr>
            <w:rFonts w:ascii="Times New Roman" w:hAnsi="Times New Roman" w:cs="Times New Roman"/>
          </w:rPr>
          <w:instrText>PAGE   \* MERGEFORMAT</w:instrText>
        </w:r>
        <w:r w:rsidRPr="00961B7B">
          <w:rPr>
            <w:rFonts w:ascii="Times New Roman" w:hAnsi="Times New Roman" w:cs="Times New Roman"/>
          </w:rPr>
          <w:fldChar w:fldCharType="separate"/>
        </w:r>
        <w:r w:rsidR="0088524A">
          <w:rPr>
            <w:rFonts w:ascii="Times New Roman" w:hAnsi="Times New Roman" w:cs="Times New Roman"/>
            <w:noProof/>
          </w:rPr>
          <w:t>5</w:t>
        </w:r>
        <w:r w:rsidRPr="00961B7B">
          <w:rPr>
            <w:rFonts w:ascii="Times New Roman" w:hAnsi="Times New Roman" w:cs="Times New Roman"/>
          </w:rPr>
          <w:fldChar w:fldCharType="end"/>
        </w:r>
      </w:p>
    </w:sdtContent>
  </w:sdt>
  <w:p w:rsidR="007E6979" w:rsidRDefault="007E69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79" w:rsidRDefault="007E6979" w:rsidP="00D871F7">
      <w:pPr>
        <w:spacing w:after="0" w:line="240" w:lineRule="auto"/>
      </w:pPr>
      <w:r>
        <w:separator/>
      </w:r>
    </w:p>
  </w:footnote>
  <w:footnote w:type="continuationSeparator" w:id="0">
    <w:p w:rsidR="007E6979" w:rsidRDefault="007E6979" w:rsidP="00D8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5E9"/>
    <w:multiLevelType w:val="hybridMultilevel"/>
    <w:tmpl w:val="E7287626"/>
    <w:lvl w:ilvl="0" w:tplc="9706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D1316"/>
    <w:multiLevelType w:val="hybridMultilevel"/>
    <w:tmpl w:val="3A645F2E"/>
    <w:lvl w:ilvl="0" w:tplc="EBCA35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81557"/>
    <w:multiLevelType w:val="hybridMultilevel"/>
    <w:tmpl w:val="8E4CA332"/>
    <w:lvl w:ilvl="0" w:tplc="CB120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67"/>
    <w:rsid w:val="00023B31"/>
    <w:rsid w:val="000446C8"/>
    <w:rsid w:val="0006609D"/>
    <w:rsid w:val="00076297"/>
    <w:rsid w:val="00096489"/>
    <w:rsid w:val="000A332E"/>
    <w:rsid w:val="001166F9"/>
    <w:rsid w:val="00125E02"/>
    <w:rsid w:val="00184ACC"/>
    <w:rsid w:val="001A04DC"/>
    <w:rsid w:val="001C27F5"/>
    <w:rsid w:val="001F0DA6"/>
    <w:rsid w:val="00221196"/>
    <w:rsid w:val="00222CA5"/>
    <w:rsid w:val="0024366F"/>
    <w:rsid w:val="0025572C"/>
    <w:rsid w:val="00275D2E"/>
    <w:rsid w:val="002913C5"/>
    <w:rsid w:val="00320B67"/>
    <w:rsid w:val="00320E7F"/>
    <w:rsid w:val="00322D54"/>
    <w:rsid w:val="00365FAF"/>
    <w:rsid w:val="003C5FF3"/>
    <w:rsid w:val="00400BFC"/>
    <w:rsid w:val="00450228"/>
    <w:rsid w:val="00492350"/>
    <w:rsid w:val="004A28F9"/>
    <w:rsid w:val="0052786D"/>
    <w:rsid w:val="00536753"/>
    <w:rsid w:val="00566FEF"/>
    <w:rsid w:val="00591018"/>
    <w:rsid w:val="005D3309"/>
    <w:rsid w:val="00602319"/>
    <w:rsid w:val="006E4183"/>
    <w:rsid w:val="0070058B"/>
    <w:rsid w:val="0072663E"/>
    <w:rsid w:val="00750514"/>
    <w:rsid w:val="0075799F"/>
    <w:rsid w:val="007E6979"/>
    <w:rsid w:val="008003A9"/>
    <w:rsid w:val="00807067"/>
    <w:rsid w:val="0081019D"/>
    <w:rsid w:val="00842E7C"/>
    <w:rsid w:val="0088524A"/>
    <w:rsid w:val="008A03FE"/>
    <w:rsid w:val="008A77B2"/>
    <w:rsid w:val="00900BDE"/>
    <w:rsid w:val="00925E0D"/>
    <w:rsid w:val="0095423C"/>
    <w:rsid w:val="00961B7B"/>
    <w:rsid w:val="009645E4"/>
    <w:rsid w:val="009E1DDB"/>
    <w:rsid w:val="00A230DD"/>
    <w:rsid w:val="00A56397"/>
    <w:rsid w:val="00A75E74"/>
    <w:rsid w:val="00A96D50"/>
    <w:rsid w:val="00AD265C"/>
    <w:rsid w:val="00B30655"/>
    <w:rsid w:val="00B65101"/>
    <w:rsid w:val="00BE30FB"/>
    <w:rsid w:val="00BF3C94"/>
    <w:rsid w:val="00C06852"/>
    <w:rsid w:val="00C15139"/>
    <w:rsid w:val="00C2270B"/>
    <w:rsid w:val="00C27BA5"/>
    <w:rsid w:val="00C457CE"/>
    <w:rsid w:val="00C472C5"/>
    <w:rsid w:val="00C84768"/>
    <w:rsid w:val="00CB6A58"/>
    <w:rsid w:val="00CC11D0"/>
    <w:rsid w:val="00CF26A3"/>
    <w:rsid w:val="00D11349"/>
    <w:rsid w:val="00D43F32"/>
    <w:rsid w:val="00D50859"/>
    <w:rsid w:val="00D76A43"/>
    <w:rsid w:val="00D871F7"/>
    <w:rsid w:val="00DA1829"/>
    <w:rsid w:val="00DB7B48"/>
    <w:rsid w:val="00DB7F55"/>
    <w:rsid w:val="00DF6ABA"/>
    <w:rsid w:val="00E5423E"/>
    <w:rsid w:val="00E82CBA"/>
    <w:rsid w:val="00EE77A8"/>
    <w:rsid w:val="00EF369E"/>
    <w:rsid w:val="00EF65F8"/>
    <w:rsid w:val="00F0155E"/>
    <w:rsid w:val="00F71F26"/>
    <w:rsid w:val="00F77D7F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67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75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0B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0B67"/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400B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00BFC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ConsPlusNormal">
    <w:name w:val="ConsPlusNormal"/>
    <w:rsid w:val="0040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275D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D2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D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7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D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5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71F7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D8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71F7"/>
    <w:rPr>
      <w:rFonts w:ascii="Calibri" w:eastAsia="Times New Roman" w:hAnsi="Calibri" w:cs="Calibri"/>
      <w:lang w:eastAsia="ar-SA"/>
    </w:rPr>
  </w:style>
  <w:style w:type="character" w:styleId="af">
    <w:name w:val="Hyperlink"/>
    <w:basedOn w:val="a0"/>
    <w:uiPriority w:val="99"/>
    <w:unhideWhenUsed/>
    <w:rsid w:val="009645E4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222CA5"/>
    <w:rPr>
      <w:i/>
      <w:iCs/>
    </w:rPr>
  </w:style>
  <w:style w:type="paragraph" w:customStyle="1" w:styleId="s1">
    <w:name w:val="s_1"/>
    <w:basedOn w:val="a"/>
    <w:rsid w:val="0024366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67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75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0B6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0B67"/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400B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00BFC"/>
    <w:pPr>
      <w:suppressAutoHyphens w:val="0"/>
      <w:ind w:left="720"/>
      <w:contextualSpacing/>
    </w:pPr>
    <w:rPr>
      <w:rFonts w:cs="Times New Roman"/>
      <w:lang w:eastAsia="ru-RU"/>
    </w:rPr>
  </w:style>
  <w:style w:type="paragraph" w:customStyle="1" w:styleId="ConsPlusNormal">
    <w:name w:val="ConsPlusNormal"/>
    <w:rsid w:val="0040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275D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D2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D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7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D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5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71F7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D8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71F7"/>
    <w:rPr>
      <w:rFonts w:ascii="Calibri" w:eastAsia="Times New Roman" w:hAnsi="Calibri" w:cs="Calibri"/>
      <w:lang w:eastAsia="ar-SA"/>
    </w:rPr>
  </w:style>
  <w:style w:type="character" w:styleId="af">
    <w:name w:val="Hyperlink"/>
    <w:basedOn w:val="a0"/>
    <w:uiPriority w:val="99"/>
    <w:unhideWhenUsed/>
    <w:rsid w:val="009645E4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222CA5"/>
    <w:rPr>
      <w:i/>
      <w:iCs/>
    </w:rPr>
  </w:style>
  <w:style w:type="paragraph" w:customStyle="1" w:styleId="s1">
    <w:name w:val="s_1"/>
    <w:basedOn w:val="a"/>
    <w:rsid w:val="0024366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31264.100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11046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10064631.0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02530.0/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5E64-1460-4E5F-9B6D-9E9B0AE2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cp:lastPrinted>2023-01-12T06:07:00Z</cp:lastPrinted>
  <dcterms:created xsi:type="dcterms:W3CDTF">2013-11-06T07:21:00Z</dcterms:created>
  <dcterms:modified xsi:type="dcterms:W3CDTF">2023-01-12T06:07:00Z</dcterms:modified>
</cp:coreProperties>
</file>